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11177335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215702">
        <w:rPr>
          <w:rFonts w:ascii="Calibri" w:hAnsi="Calibri"/>
          <w:b/>
          <w:sz w:val="24"/>
        </w:rPr>
        <w:t>7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6044D7A1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F92FED">
        <w:rPr>
          <w:rFonts w:cs="Arial"/>
          <w:b/>
          <w:sz w:val="24"/>
        </w:rPr>
        <w:t>Tromboelastograf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4E0685DE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8C3273">
        <w:rPr>
          <w:rFonts w:cs="Arial"/>
          <w:sz w:val="24"/>
        </w:rPr>
        <w:t>7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6FDEB973" w:rsidR="004D2320" w:rsidRPr="00D008FB" w:rsidRDefault="00F92FED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 ks tromboelastograf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080"/>
        <w:gridCol w:w="1330"/>
        <w:gridCol w:w="2693"/>
      </w:tblGrid>
      <w:tr w:rsidR="00124470" w14:paraId="0FD5F164" w14:textId="7C91EF35" w:rsidTr="00F92FED">
        <w:trPr>
          <w:trHeight w:val="3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92FED" w14:paraId="3559D611" w14:textId="5C2A29EE" w:rsidTr="00F92FED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727C9404" w:rsidR="00F92FED" w:rsidRPr="00035745" w:rsidRDefault="00F92FED" w:rsidP="00F92FED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Cs w:val="20"/>
              </w:rPr>
              <w:t>Minimálně 4-kanálový přístroj</w:t>
            </w:r>
            <w:r w:rsidRPr="00B817D3">
              <w:rPr>
                <w:rFonts w:cs="Arial"/>
                <w:color w:val="000000" w:themeColor="text1"/>
                <w:szCs w:val="20"/>
              </w:rPr>
              <w:t>, umožňující provádět min. 4 vyšetření paralelně/nezávisle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F92FED" w:rsidRDefault="00F92FED" w:rsidP="00F92FED">
            <w:pPr>
              <w:jc w:val="center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765AE9D3" w14:textId="438182B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92713" w14:textId="77777777" w:rsidR="00F92FED" w:rsidRDefault="00F92FED" w:rsidP="00F92FED">
            <w:pPr>
              <w:widowControl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Vyšetření z plné krve (citrátová krev)</w:t>
            </w:r>
          </w:p>
          <w:p w14:paraId="1542D951" w14:textId="30474B86" w:rsidR="00F92FED" w:rsidRPr="00035745" w:rsidRDefault="00F92FED" w:rsidP="00F92FED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F92FED" w:rsidRPr="002E2597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7DF0E3A2" w14:textId="0D186EDD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6A57E8B3" w:rsidR="00F92FED" w:rsidRPr="00EA12EC" w:rsidRDefault="00F92FED" w:rsidP="00F92FED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Cs w:val="20"/>
              </w:rPr>
              <w:t>Stolní přístroj, kompaktní konstrukce, přenosný, odolný vůči vibracím a otřesům s možností instalace na transportní vozík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F92FED" w:rsidRPr="002E2597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658D98C5" w14:textId="2BCECECA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5E5AA18B" w:rsidR="00F92FED" w:rsidRPr="00EA12EC" w:rsidRDefault="00F92FED" w:rsidP="00F92FED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Cs w:val="20"/>
              </w:rPr>
              <w:t>Tromboelastograf plně automatický (navigace postupu), nebo pipetování suchých reagencií s technologií aktivní špičky</w:t>
            </w:r>
            <w:r w:rsidRPr="0055295F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F92FED" w:rsidRPr="00035745" w:rsidRDefault="00F92FED" w:rsidP="00F92FE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F92FED" w:rsidRDefault="00F92FED" w:rsidP="00F92FED">
            <w:pPr>
              <w:rPr>
                <w:b/>
                <w:bCs/>
              </w:rPr>
            </w:pPr>
          </w:p>
        </w:tc>
      </w:tr>
      <w:tr w:rsidR="00F92FED" w14:paraId="058E9403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256BB" w14:textId="17F4FCF4" w:rsidR="00F92FED" w:rsidRPr="00730E15" w:rsidRDefault="00F92FED" w:rsidP="00F92FED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Cs w:val="20"/>
              </w:rPr>
              <w:t>Integrovaná čtečka čárových kódů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F92FED" w:rsidRDefault="00F92FED" w:rsidP="00F92FED">
            <w:pPr>
              <w:rPr>
                <w:b/>
                <w:bCs/>
              </w:rPr>
            </w:pPr>
          </w:p>
        </w:tc>
      </w:tr>
      <w:tr w:rsidR="00F92FED" w14:paraId="05DD2256" w14:textId="226584B2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7F606A74" w:rsidR="00F92FED" w:rsidRPr="00730E15" w:rsidRDefault="00F92FED" w:rsidP="00F92FED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Cs w:val="20"/>
              </w:rPr>
              <w:t>Jednoduché ovládání pomocí dotykového displeje, intuitivní software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563FFF15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1596" w14:textId="7D8CC854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Tromboelastometr umožnuje spouštět měření bez časového limitu.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B03B8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A76CC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387D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7360063A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E36E0" w14:textId="1CEE3641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Numerický i grafický výstup, automatická detekce abnormálních výsledků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2876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FEB9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E077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4A763EDA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1F70" w14:textId="09B69A14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Nejdůležitější výsledky k dispozici během několika minut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0FCFC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F53C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E6A6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58957BCA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582DD" w14:textId="3D41B467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Komfortní řízení činnosti přístroje (SW), ukládání, zpracování a export výsledků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A10B4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FC0FB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0CC3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3EBB41E5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6F0DF" w14:textId="1CB2A3AB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Připojení k informačnímu systému (LIS/NIS), řízení a sledování výsledků ze sítě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35203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FD02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FDDF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04518D4E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C8C39" w14:textId="0C3D9F35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Splňuje požadavky norem na systém kontroly kvality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C3A40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39766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D7FB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F92FED" w14:paraId="3331E754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0C257" w14:textId="77777777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Měřené parametry v reálném čase:</w:t>
            </w:r>
          </w:p>
          <w:p w14:paraId="237206FA" w14:textId="0903B73A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 xml:space="preserve">- koag. </w:t>
            </w:r>
            <w:r w:rsidR="00621818">
              <w:rPr>
                <w:rFonts w:cs="Arial"/>
                <w:color w:val="000000" w:themeColor="text1"/>
                <w:szCs w:val="20"/>
              </w:rPr>
              <w:t>č</w:t>
            </w:r>
            <w:r>
              <w:rPr>
                <w:rFonts w:cs="Arial"/>
                <w:color w:val="000000" w:themeColor="text1"/>
                <w:szCs w:val="20"/>
              </w:rPr>
              <w:t>as (CT)</w:t>
            </w:r>
          </w:p>
          <w:p w14:paraId="47441AF6" w14:textId="77777777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kinetika tvorby koagula (CFT)</w:t>
            </w:r>
          </w:p>
          <w:p w14:paraId="08631641" w14:textId="77777777" w:rsidR="00F92FED" w:rsidRDefault="00F92FED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úhel ɑ</w:t>
            </w:r>
          </w:p>
          <w:p w14:paraId="710A1960" w14:textId="77777777" w:rsidR="00621818" w:rsidRDefault="00621818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pevnost koagula (MCR)</w:t>
            </w:r>
          </w:p>
          <w:p w14:paraId="25DA6EFC" w14:textId="36FA99EF" w:rsidR="00621818" w:rsidRDefault="00621818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amplituda v čase (A(x))</w:t>
            </w:r>
          </w:p>
          <w:p w14:paraId="20CAB563" w14:textId="77777777" w:rsidR="00621818" w:rsidRDefault="00621818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maximální lýza (ML)</w:t>
            </w:r>
          </w:p>
          <w:p w14:paraId="4D89E794" w14:textId="77777777" w:rsidR="00621818" w:rsidRDefault="00621818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čas lýzy (LT)</w:t>
            </w:r>
          </w:p>
          <w:p w14:paraId="36F57FEC" w14:textId="0BE457AB" w:rsidR="00621818" w:rsidRDefault="00621818" w:rsidP="00F92FED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- index lýzy sraženiny v daném čase x (30, 45, 60 min) (CLI(x))</w:t>
            </w:r>
            <w:r w:rsidR="00DA10CD">
              <w:rPr>
                <w:rFonts w:cs="Arial"/>
                <w:color w:val="000000" w:themeColor="text1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94BBE" w14:textId="77777777" w:rsidR="00F92FED" w:rsidRPr="000D2014" w:rsidRDefault="00F92FED" w:rsidP="00F92FED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B64AE" w14:textId="77777777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4AF1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730E15" w:rsidRPr="00621818" w14:paraId="4AA42CE8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170DDD81" w:rsidR="00730E15" w:rsidRPr="00621818" w:rsidRDefault="00730E15" w:rsidP="00730E15">
            <w:pPr>
              <w:rPr>
                <w:rFonts w:cs="Arial"/>
                <w:szCs w:val="20"/>
              </w:rPr>
            </w:pPr>
            <w:r w:rsidRPr="00621818">
              <w:rPr>
                <w:rFonts w:cs="Arial"/>
                <w:szCs w:val="20"/>
              </w:rPr>
              <w:t>Spotřební materiál a vybavení dle principu přístroje v míře umožňující zprovoznění požadované metody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3DC" w14:textId="77777777" w:rsidR="00730E15" w:rsidRPr="00621818" w:rsidRDefault="00730E15" w:rsidP="00730E15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02E2" w14:textId="77777777" w:rsidR="00730E15" w:rsidRPr="00621818" w:rsidRDefault="00730E15" w:rsidP="00730E15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6846" w14:textId="77777777" w:rsidR="00730E15" w:rsidRPr="00621818" w:rsidRDefault="00730E15" w:rsidP="00730E15">
            <w:pPr>
              <w:jc w:val="center"/>
              <w:rPr>
                <w:color w:val="FF0000"/>
                <w:szCs w:val="20"/>
              </w:rPr>
            </w:pPr>
          </w:p>
        </w:tc>
      </w:tr>
    </w:tbl>
    <w:p w14:paraId="44C5A27C" w14:textId="77777777" w:rsidR="007759C5" w:rsidRDefault="007759C5" w:rsidP="007759C5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Pr="00621818" w:rsidRDefault="00344E00" w:rsidP="00344E00">
      <w:pPr>
        <w:rPr>
          <w:b/>
          <w:bCs/>
          <w:szCs w:val="20"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564476E0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V případě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</w:t>
      </w:r>
      <w:r w:rsidRPr="001F0B21">
        <w:rPr>
          <w:rFonts w:cs="Arial"/>
          <w:szCs w:val="20"/>
        </w:rPr>
        <w:lastRenderedPageBreak/>
        <w:t>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6B4A8238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</w:t>
      </w:r>
      <w:r w:rsidR="008C3273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kybernetické bezpečnosti (ZKB) provozovatelem základní služby: Poskytování zdravotních služeb. </w:t>
      </w:r>
    </w:p>
    <w:p w14:paraId="41D41A1B" w14:textId="330F96AE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</w:t>
      </w:r>
      <w:r w:rsidR="00321C34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E3021" w14:textId="77777777" w:rsidR="00913561" w:rsidRDefault="00913561" w:rsidP="00344E00">
      <w:r>
        <w:separator/>
      </w:r>
    </w:p>
  </w:endnote>
  <w:endnote w:type="continuationSeparator" w:id="0">
    <w:p w14:paraId="4DC01535" w14:textId="77777777" w:rsidR="00913561" w:rsidRDefault="00913561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D44" w14:textId="77777777" w:rsidR="00913561" w:rsidRDefault="00913561" w:rsidP="00344E00">
      <w:r>
        <w:separator/>
      </w:r>
    </w:p>
  </w:footnote>
  <w:footnote w:type="continuationSeparator" w:id="0">
    <w:p w14:paraId="2A50DF6D" w14:textId="77777777" w:rsidR="00913561" w:rsidRDefault="00913561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1EB1E44A" w:rsidR="00344E00" w:rsidRPr="00C94821" w:rsidRDefault="00344E00" w:rsidP="00344E00">
    <w:pPr>
      <w:pStyle w:val="Zhlav"/>
    </w:pPr>
    <w:r>
      <w:t>Příloha č. 2_</w:t>
    </w:r>
    <w:r w:rsidR="00215702">
      <w:t>7</w:t>
    </w:r>
    <w:r>
      <w:t>_ zadávací dokumentace_Technické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905272">
    <w:abstractNumId w:val="2"/>
  </w:num>
  <w:num w:numId="2" w16cid:durableId="100997153">
    <w:abstractNumId w:val="1"/>
  </w:num>
  <w:num w:numId="3" w16cid:durableId="1031147741">
    <w:abstractNumId w:val="3"/>
  </w:num>
  <w:num w:numId="4" w16cid:durableId="158037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F58C4"/>
    <w:rsid w:val="00215702"/>
    <w:rsid w:val="00271730"/>
    <w:rsid w:val="00321C34"/>
    <w:rsid w:val="00344E00"/>
    <w:rsid w:val="00384F84"/>
    <w:rsid w:val="00452318"/>
    <w:rsid w:val="004A0646"/>
    <w:rsid w:val="004D2320"/>
    <w:rsid w:val="005432FE"/>
    <w:rsid w:val="005508C9"/>
    <w:rsid w:val="005F16B1"/>
    <w:rsid w:val="00621818"/>
    <w:rsid w:val="00667825"/>
    <w:rsid w:val="00730E15"/>
    <w:rsid w:val="00753504"/>
    <w:rsid w:val="007759C5"/>
    <w:rsid w:val="00802944"/>
    <w:rsid w:val="00815FE5"/>
    <w:rsid w:val="008778AB"/>
    <w:rsid w:val="008C3273"/>
    <w:rsid w:val="00913561"/>
    <w:rsid w:val="00924040"/>
    <w:rsid w:val="00A1356F"/>
    <w:rsid w:val="00BD21AF"/>
    <w:rsid w:val="00C01590"/>
    <w:rsid w:val="00C27360"/>
    <w:rsid w:val="00C920C0"/>
    <w:rsid w:val="00C97E95"/>
    <w:rsid w:val="00CE6ACC"/>
    <w:rsid w:val="00D008FB"/>
    <w:rsid w:val="00D1488D"/>
    <w:rsid w:val="00DA10CD"/>
    <w:rsid w:val="00DC7AD4"/>
    <w:rsid w:val="00DF1AED"/>
    <w:rsid w:val="00DF7302"/>
    <w:rsid w:val="00EA12EC"/>
    <w:rsid w:val="00ED63D1"/>
    <w:rsid w:val="00F51825"/>
    <w:rsid w:val="00F92FED"/>
    <w:rsid w:val="00F9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773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10</cp:revision>
  <dcterms:created xsi:type="dcterms:W3CDTF">2022-07-28T12:21:00Z</dcterms:created>
  <dcterms:modified xsi:type="dcterms:W3CDTF">2022-12-23T11:53:00Z</dcterms:modified>
</cp:coreProperties>
</file>